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i/>
          <w:caps/>
          <w:spacing w:val="20"/>
        </w:rPr>
      </w:pPr>
      <w:bookmarkStart w:id="0" w:name="_GoBack"/>
      <w:bookmarkEnd w:id="0"/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STANOVY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SPOLEČENSTVÍ VLASTNÍKŮ JEDNOTEK</w:t>
      </w: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I 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Základní ustanovení 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16"/>
          <w:szCs w:val="16"/>
        </w:rPr>
      </w:pPr>
    </w:p>
    <w:p w:rsidR="00521FDA" w:rsidRDefault="00296372">
      <w:pPr>
        <w:widowControl w:val="0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Společenství vlastníků jednotek (dále jen "společenství") je právnickou osobou podle § 1194 zákona č. 89/2012 Sb., občanský zákoník.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Společenství nabývá práva a zavazuje se ve </w:t>
      </w:r>
      <w:r>
        <w:rPr>
          <w:rFonts w:ascii="Arial" w:hAnsi="Arial" w:cs="Arial"/>
          <w:sz w:val="20"/>
          <w:szCs w:val="20"/>
        </w:rPr>
        <w:t>věcech spojených se správou domu č. p. 1431 - 1433, 1438 a pozemku č. parc. 3113/1, 3113/2, 3119/1, 3119/4, 3119/5, 3119/6, 3119/7 v k. ú. Libeň, obec Praha 9 (dále jen "dům„ a „pozemek“) v rozsahu a způsobem uvedeným v § 1189 občanského zákoníku a v těcht</w:t>
      </w:r>
      <w:r>
        <w:rPr>
          <w:rFonts w:ascii="Arial" w:hAnsi="Arial" w:cs="Arial"/>
          <w:sz w:val="20"/>
          <w:szCs w:val="20"/>
        </w:rPr>
        <w:t xml:space="preserve">o stanovách. Společné části domu a pozemek se dále také nazývají „společné části“. 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widowControl w:val="0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Členy společenství jsou vlastníci jednotek v domě (dále jen "jednotka"), společnými členy společenství jsou spoluvlastníci jednotek za podmínek uvedených v zákoně (dále té</w:t>
      </w:r>
      <w:r>
        <w:rPr>
          <w:rFonts w:ascii="Arial" w:hAnsi="Arial" w:cs="Arial"/>
          <w:sz w:val="20"/>
          <w:szCs w:val="20"/>
        </w:rPr>
        <w:t>ž jen "člen společenství").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II 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Název a sídlo společenství 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16"/>
          <w:szCs w:val="16"/>
        </w:rPr>
      </w:pPr>
    </w:p>
    <w:p w:rsidR="00521FDA" w:rsidRDefault="00296372">
      <w:pPr>
        <w:numPr>
          <w:ilvl w:val="0"/>
          <w:numId w:val="2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Názvem společenství jsou slova </w:t>
      </w:r>
      <w:r>
        <w:rPr>
          <w:rFonts w:ascii="Arial" w:hAnsi="Arial" w:cs="Arial"/>
          <w:b/>
          <w:sz w:val="20"/>
          <w:szCs w:val="20"/>
        </w:rPr>
        <w:t>„</w:t>
      </w:r>
      <w:bookmarkStart w:id="1" w:name="__DdeLink__3890_1473242552"/>
      <w:r>
        <w:rPr>
          <w:rFonts w:ascii="Arial" w:hAnsi="Arial" w:cs="Arial"/>
          <w:b/>
          <w:sz w:val="20"/>
          <w:szCs w:val="20"/>
        </w:rPr>
        <w:t>Společenství vlastníků jednotek Nám. Na Balabence 1431</w:t>
      </w:r>
      <w:bookmarkEnd w:id="1"/>
      <w:r>
        <w:rPr>
          <w:rFonts w:ascii="Arial" w:hAnsi="Arial" w:cs="Arial"/>
          <w:b/>
          <w:sz w:val="20"/>
          <w:szCs w:val="20"/>
        </w:rPr>
        <w:t xml:space="preserve"> - 1433, 1438, Praha 9“</w:t>
      </w:r>
      <w:r>
        <w:rPr>
          <w:rFonts w:ascii="Arial" w:hAnsi="Arial" w:cs="Arial"/>
          <w:sz w:val="20"/>
          <w:szCs w:val="20"/>
        </w:rPr>
        <w:t>.</w:t>
      </w:r>
    </w:p>
    <w:p w:rsidR="00521FDA" w:rsidRDefault="00521FDA">
      <w:pPr>
        <w:spacing w:after="0" w:line="100" w:lineRule="atLeast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numPr>
          <w:ilvl w:val="0"/>
          <w:numId w:val="2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 společenství je nám. Na Balabence č. p. 1438/2, PSČ 190 00, Praha 9</w:t>
      </w:r>
    </w:p>
    <w:p w:rsidR="00521FDA" w:rsidRDefault="00296372">
      <w:pPr>
        <w:numPr>
          <w:ilvl w:val="0"/>
          <w:numId w:val="2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274 521 74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III 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Správa domu a další činnosti</w:t>
      </w: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pStyle w:val="Odstavecseseznamem"/>
        <w:widowControl w:val="0"/>
        <w:numPr>
          <w:ilvl w:val="0"/>
          <w:numId w:val="3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Společenství vykonává a odpovídá za správu domu a pozemku způsobem a v rozsahu stanoveném právními předpisy, těmito stanovami a dalšími rozhodnutími orgánů společenství.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widowControl w:val="0"/>
        <w:numPr>
          <w:ilvl w:val="0"/>
          <w:numId w:val="3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tyto stanovy neurčují </w:t>
      </w:r>
      <w:r>
        <w:rPr>
          <w:rFonts w:ascii="Arial" w:hAnsi="Arial" w:cs="Arial"/>
          <w:sz w:val="20"/>
          <w:szCs w:val="20"/>
        </w:rPr>
        <w:t>jinak, podrobnosti o činnostech týkajících se správy domu a pozemku se řídí právními předpisy.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IV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Členství ve společenství 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8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Členy společenství se stávají fyzické i právnické osoby, které nabyly vlastnictví k jednotce. Společenství členy eviduje </w:t>
      </w:r>
      <w:r>
        <w:rPr>
          <w:rFonts w:ascii="Arial" w:hAnsi="Arial" w:cs="Arial"/>
          <w:sz w:val="20"/>
          <w:szCs w:val="20"/>
        </w:rPr>
        <w:t>a sděluje jim informace podle zákona, stejně tak členové společenství sdělují společenství zákonem vyžadované informace.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widowControl w:val="0"/>
        <w:numPr>
          <w:ilvl w:val="0"/>
          <w:numId w:val="8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společenství se může nechat při výkonu svých práv zastoupit jiným členem společenství nebo třetí osobou na základě písemné plné m</w:t>
      </w:r>
      <w:r>
        <w:rPr>
          <w:rFonts w:ascii="Arial" w:hAnsi="Arial" w:cs="Arial"/>
          <w:sz w:val="20"/>
          <w:szCs w:val="20"/>
        </w:rPr>
        <w:t xml:space="preserve">oci. Spoluvlastníci jednotky zmocní pro jednání vůči společenství společného zástupce. 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16"/>
          <w:szCs w:val="16"/>
        </w:rPr>
      </w:pP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V 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Členská práva a povinnosti a způsob jejich uplatňování  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4"/>
        </w:numPr>
        <w:spacing w:after="0" w:line="100" w:lineRule="atLeast"/>
        <w:ind w:left="426" w:hanging="426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Člen společenství má práva a povinnosti vlastníka jednotky a člena společenství uvedená v příslušných</w:t>
      </w:r>
      <w:r>
        <w:rPr>
          <w:rFonts w:ascii="Arial" w:hAnsi="Arial" w:cs="Arial"/>
          <w:spacing w:val="-4"/>
          <w:sz w:val="20"/>
          <w:szCs w:val="20"/>
        </w:rPr>
        <w:t xml:space="preserve"> ustanoveních zákona a dalších právních předpisů, pokud tyto stanovy neurčují jinak. Tato práva člen společenství uplatňuje způsobem stanoveným zákonem, včetně základních zásad </w:t>
      </w:r>
      <w:r>
        <w:rPr>
          <w:rFonts w:ascii="Arial" w:hAnsi="Arial" w:cs="Arial"/>
          <w:spacing w:val="-4"/>
          <w:sz w:val="20"/>
          <w:szCs w:val="20"/>
        </w:rPr>
        <w:lastRenderedPageBreak/>
        <w:t>občanského zákoníku a jeho ustanovení o právnických osobách. Rozsah práv a povi</w:t>
      </w:r>
      <w:r>
        <w:rPr>
          <w:rFonts w:ascii="Arial" w:hAnsi="Arial" w:cs="Arial"/>
          <w:spacing w:val="-4"/>
          <w:sz w:val="20"/>
          <w:szCs w:val="20"/>
        </w:rPr>
        <w:t xml:space="preserve">nností členů společenství je dán zejména pravidly pro správu domu a pozemku a pro užívání společných částí.  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4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společenství má právo zejména: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užívat společné části podle pravidel v zákoně a těchto stanovách upravených, 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častnit se veškeré činnosti společenství způsobem a za podmínek stanovených zákonem a těmito stanovami, 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účastnit se zasedání shromáždění a hlasováním se podílet na jeho rozhodování, 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volit a být volen do orgánů společenství,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předkládat orgánům společenstv</w:t>
      </w:r>
      <w:r>
        <w:rPr>
          <w:rFonts w:ascii="Arial" w:hAnsi="Arial" w:cs="Arial"/>
          <w:sz w:val="20"/>
          <w:szCs w:val="20"/>
        </w:rPr>
        <w:t xml:space="preserve">í návrhy a podněty ke zlepšení činnosti společenství a </w:t>
      </w:r>
      <w:r>
        <w:rPr>
          <w:rFonts w:ascii="Arial" w:hAnsi="Arial" w:cs="Arial"/>
          <w:sz w:val="20"/>
          <w:szCs w:val="20"/>
        </w:rPr>
        <w:br/>
        <w:t>k odstranění nedostatků v jejich činnosti,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obdržet vyúčtování záloh na příspěvky na správu domu a pozemku a záloh na plnění spojená nebo související s užíváním jednotky (dále jen „služby“) a vrácení p</w:t>
      </w:r>
      <w:r>
        <w:rPr>
          <w:rFonts w:ascii="Arial" w:hAnsi="Arial" w:cs="Arial"/>
          <w:sz w:val="20"/>
          <w:szCs w:val="20"/>
        </w:rPr>
        <w:t>řípadných přeplatků, vyjma zálohového příspěvku na údržbu, opravu a stavební úpravy společných částí; tato část příspěvku na správu domu a pozemku se nevypořádává,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nahlížet do písemných podkladů pro zasedání shromáždění, do zápisu ze zasedání shromáždění, </w:t>
      </w:r>
      <w:r>
        <w:rPr>
          <w:rFonts w:ascii="Arial" w:hAnsi="Arial" w:cs="Arial"/>
          <w:sz w:val="20"/>
          <w:szCs w:val="20"/>
        </w:rPr>
        <w:t>do smluv sjednaných společenstvím, do účetních knih a účetních dokladů a požadovat zákonem stanovená potvrzení, přičemž je povinen uhradit společenství náklady, které tím společenství vzniknou, o konkrétní výši nákladů rozhodne statutární orgán společenstv</w:t>
      </w:r>
      <w:r>
        <w:rPr>
          <w:rFonts w:ascii="Arial" w:hAnsi="Arial" w:cs="Arial"/>
          <w:sz w:val="20"/>
          <w:szCs w:val="20"/>
        </w:rPr>
        <w:t>í, pokud shromáždění nerozhodne jinak.</w:t>
      </w:r>
    </w:p>
    <w:p w:rsidR="00521FDA" w:rsidRDefault="00521FDA">
      <w:pPr>
        <w:widowControl w:val="0"/>
        <w:spacing w:after="0" w:line="100" w:lineRule="atLeast"/>
        <w:ind w:left="426" w:hanging="426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4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 společenství má povinnost zejména: 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dodržovat právní předpisy, tyto stanovy a plnit usnesení orgánů společenství schválená </w:t>
      </w:r>
    </w:p>
    <w:p w:rsidR="00521FDA" w:rsidRDefault="00296372">
      <w:pPr>
        <w:widowControl w:val="0"/>
        <w:spacing w:after="0" w:line="100" w:lineRule="atLeast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souladu s právními předpisy a těmito stanovami,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hradit stanovené zálohy na příspěvky</w:t>
      </w:r>
      <w:r>
        <w:rPr>
          <w:rFonts w:ascii="Arial" w:hAnsi="Arial" w:cs="Arial"/>
          <w:sz w:val="20"/>
          <w:szCs w:val="20"/>
        </w:rPr>
        <w:t xml:space="preserve"> na správu domu a pozemku a zálohy na služby a hradit nedoplatky vyplývající z vyúčtování záloh,  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hradit náklady, které společenství se správou domu a pozemku na základě žádosti člena či z jiných důvodů na straně člena společenství vzniknou (klíče, </w:t>
      </w:r>
      <w:r>
        <w:rPr>
          <w:rFonts w:ascii="Arial" w:hAnsi="Arial" w:cs="Arial"/>
          <w:sz w:val="20"/>
          <w:szCs w:val="20"/>
        </w:rPr>
        <w:t>nahlížení do listin, nezpřístupnění bytu aj.),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řídit se při užívání společných částí domu a společných zařízení pravidly těchto stanov a rozhodnutími (pokyny) orgánů společenství, včetně povinnosti hlásit údaje o klíčích od společných částí, pokud tak shro</w:t>
      </w:r>
      <w:r>
        <w:rPr>
          <w:rFonts w:ascii="Arial" w:hAnsi="Arial" w:cs="Arial"/>
          <w:sz w:val="20"/>
          <w:szCs w:val="20"/>
        </w:rPr>
        <w:t>máždění rozhodne, a zajistit jejich dodržování také všemi osobami, kterým do domu umožní vstup, včetně nájemců,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zdržet se jednání, jímž by ztížil užívání jednotky nebo společných částí jiným vlastníkům jednotek a nezasahovat tak do práv ostatních členů spo</w:t>
      </w:r>
      <w:r>
        <w:rPr>
          <w:rFonts w:ascii="Arial" w:hAnsi="Arial" w:cs="Arial"/>
          <w:sz w:val="20"/>
          <w:szCs w:val="20"/>
        </w:rPr>
        <w:t>lečenství; úpravy jednotky ve svém vlastnictví provádět tak, aby neohrožoval výkon vlastnického práva ostatních  vlastníků jednotek, provádět úpravy společných  částí jen se souhlasem společenství nebo na základě smlouvy o výstavbě uzavřené se všemi vlastn</w:t>
      </w:r>
      <w:r>
        <w:rPr>
          <w:rFonts w:ascii="Arial" w:hAnsi="Arial" w:cs="Arial"/>
          <w:sz w:val="20"/>
          <w:szCs w:val="20"/>
        </w:rPr>
        <w:t xml:space="preserve">íky jednotek v domě, 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odstranit na svůj náklad závady a poškození, které na jiných jednotkách nebo na společných částech způsobil sám nebo ti, kteří s ním jednotku užívají nebo jimž do domu umožnil vstup, případně nahradit náklad společenství na tento účel</w:t>
      </w:r>
      <w:r>
        <w:rPr>
          <w:rFonts w:ascii="Arial" w:hAnsi="Arial" w:cs="Arial"/>
          <w:sz w:val="20"/>
          <w:szCs w:val="20"/>
        </w:rPr>
        <w:t xml:space="preserve"> vynaložený,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umožnit instalaci, údržbu a kontrolu zařízení pro měření spotřeby vody, plynu, tepla a jiných energií v jednotce a odečet naměřených hodnot,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umožnit po předchozím vyzvání společenství přístup do jednotky, pokud to vyžadují úpravy, provoz, opra</w:t>
      </w:r>
      <w:r>
        <w:rPr>
          <w:rFonts w:ascii="Arial" w:hAnsi="Arial" w:cs="Arial"/>
          <w:sz w:val="20"/>
          <w:szCs w:val="20"/>
        </w:rPr>
        <w:t xml:space="preserve">vy apod. ostatních jednotek nebo společných částí, 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oznámit bez zbytečného odkladu statutárnímu orgánu společenství datum nabytí vlastnictví jednotky včetně své adresy a počtu osob, které s ním sdílejí domácnost, případně bydlí v bytě po dobu, která činí </w:t>
      </w:r>
      <w:r>
        <w:rPr>
          <w:rFonts w:ascii="Arial" w:hAnsi="Arial" w:cs="Arial"/>
          <w:sz w:val="20"/>
          <w:szCs w:val="20"/>
        </w:rPr>
        <w:t>v souhrnu nejméně 3 měsíce v jednom kalendářním roce, v případě rozúčtování služeb podle osob pak osoby, u kterých lze mít za to, že s ním budou žít v jednotce po dobu delší než 2 měsíce v průběhu zúčtovacího období,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oznámit společenství v případě přenechá</w:t>
      </w:r>
      <w:r>
        <w:rPr>
          <w:rFonts w:ascii="Arial" w:hAnsi="Arial" w:cs="Arial"/>
          <w:sz w:val="20"/>
          <w:szCs w:val="20"/>
        </w:rPr>
        <w:t>ní jednotky do užívání jiné osobě jméno a adresu této osoby včetně počtu osob ve smyslu předchozího bodu,</w:t>
      </w:r>
    </w:p>
    <w:p w:rsidR="00521FDA" w:rsidRDefault="00296372">
      <w:pPr>
        <w:widowControl w:val="0"/>
        <w:numPr>
          <w:ilvl w:val="1"/>
          <w:numId w:val="4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předat společenství před zahájením stavebních úprav projektovou dokumentaci v případě, že stavebně upravuje svou jednotku, a po předchozí výzvě umožni</w:t>
      </w:r>
      <w:r>
        <w:rPr>
          <w:rFonts w:ascii="Arial" w:hAnsi="Arial" w:cs="Arial"/>
          <w:sz w:val="20"/>
          <w:szCs w:val="20"/>
        </w:rPr>
        <w:t>t společenství přístup do jednotky pro ověření, zda stavební úpravy neohrožují, nepoškozují nebo nemění společné části.</w:t>
      </w: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Čl. VI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Orgány společenství</w:t>
      </w: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21FDA" w:rsidRDefault="00296372">
      <w:pPr>
        <w:pStyle w:val="Odstavecseseznamem"/>
        <w:widowControl w:val="0"/>
        <w:numPr>
          <w:ilvl w:val="0"/>
          <w:numId w:val="12"/>
        </w:numPr>
        <w:spacing w:after="0" w:line="10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Orgány společenství jsou shromáždění (dále jen „Shromáždění“) a volené orgány a to výbor společenství  ( d</w:t>
      </w:r>
      <w:r>
        <w:rPr>
          <w:rFonts w:ascii="Arial" w:hAnsi="Arial" w:cs="Arial"/>
          <w:sz w:val="20"/>
          <w:szCs w:val="20"/>
        </w:rPr>
        <w:t>ále jen „Výbor“).</w:t>
      </w:r>
    </w:p>
    <w:p w:rsidR="00521FDA" w:rsidRDefault="00296372">
      <w:pPr>
        <w:pStyle w:val="Odstavecseseznamem"/>
        <w:widowControl w:val="0"/>
        <w:numPr>
          <w:ilvl w:val="0"/>
          <w:numId w:val="12"/>
        </w:numPr>
        <w:spacing w:after="0" w:line="10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Způsobilý být členem voleného orgánu nebo zástupcem právnické osoby jako člena voleného orgánu může být pouze vlastník jednotky, který je plně svéprávný a je bezúhonný ve smyslu jiného právního předpisu upravujícího živnostenské podnikání</w:t>
      </w:r>
      <w:r>
        <w:rPr>
          <w:rFonts w:ascii="Arial" w:hAnsi="Arial" w:cs="Arial"/>
          <w:sz w:val="20"/>
          <w:szCs w:val="20"/>
        </w:rPr>
        <w:t>.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VII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Shromáždění</w:t>
      </w: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Nejvyšším orgánem společenství je shromáždění, které tvoří členové společenství.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působnosti shromáždění patří: 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stanov,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změna prohlášení o rozdělení práva k domu a pozemku na vlastnické právo k jednotkám, 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volba a </w:t>
      </w:r>
      <w:r>
        <w:rPr>
          <w:rFonts w:ascii="Arial" w:hAnsi="Arial" w:cs="Arial"/>
          <w:sz w:val="20"/>
          <w:szCs w:val="20"/>
        </w:rPr>
        <w:t>odvolávání členů volených orgánů a rozhodování o výši jejich odměn,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schválení účetní závěrky, vypořádání výsledku hospodaření a zprávy o hospodaření společenství a o správě domu a pozemku, o výši záloh na příspěvky na správu domu a pozemku pro příští  obdo</w:t>
      </w:r>
      <w:r>
        <w:rPr>
          <w:rFonts w:ascii="Arial" w:hAnsi="Arial" w:cs="Arial"/>
          <w:sz w:val="20"/>
          <w:szCs w:val="20"/>
        </w:rPr>
        <w:t>bí a rozhodnutí o vyúčtování nebo vypořádání nevyčerpaných záloh,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schválení druhu a rozsahu služeb a výše záloh na jejich úhradu, jakož i způsobu rozúčtování cen služeb na jednotky, 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rozhodování: </w:t>
      </w:r>
    </w:p>
    <w:p w:rsidR="00521FDA" w:rsidRDefault="00521FDA">
      <w:pPr>
        <w:widowControl w:val="0"/>
        <w:spacing w:after="0" w:line="100" w:lineRule="atLeast"/>
        <w:ind w:left="1560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členství společenství v právnické osobě působící v oblas</w:t>
      </w:r>
      <w:r>
        <w:rPr>
          <w:rFonts w:ascii="Arial" w:hAnsi="Arial" w:cs="Arial"/>
          <w:sz w:val="20"/>
          <w:szCs w:val="20"/>
        </w:rPr>
        <w:t xml:space="preserve">ti bydlení,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změně účelu užívání domu nebo jednotky,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změně podlahové plochy jednotky,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úplném nebo částečném sloučení nebo rozdělení jednotek,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změně podílu na společných částech,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změně v určení společné části sloužící k výlučnému užívání vlast</w:t>
      </w:r>
      <w:r>
        <w:rPr>
          <w:rFonts w:ascii="Arial" w:hAnsi="Arial" w:cs="Arial"/>
          <w:sz w:val="20"/>
          <w:szCs w:val="20"/>
        </w:rPr>
        <w:t xml:space="preserve">níka jednotky,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údržbě, opravě nebo stavební úpravě společné části, vyjma věcí uvedených v čl. VII odst. 5 těchto stanov,  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udělování předchozího souhlasu: </w:t>
      </w:r>
    </w:p>
    <w:p w:rsidR="00521FDA" w:rsidRDefault="00521FDA">
      <w:pPr>
        <w:widowControl w:val="0"/>
        <w:spacing w:after="0" w:line="100" w:lineRule="atLeast"/>
        <w:ind w:left="1560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nabytí, zcizení nebo zatížení nemovitých věcí nebo k jinému nakládání s nimi,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nabytí, zcizení nebo zatížení movitých věcí, vyjma věcí uvedených v čl. VII odst. 5 těchto stanov, 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uzavření smlouvy o úvěru společenstvím včetně schválení výše a podmínek úvěru, </w:t>
      </w:r>
    </w:p>
    <w:p w:rsidR="00521FDA" w:rsidRDefault="00296372">
      <w:pPr>
        <w:widowControl w:val="0"/>
        <w:numPr>
          <w:ilvl w:val="2"/>
          <w:numId w:val="5"/>
        </w:numPr>
        <w:spacing w:after="0" w:line="100" w:lineRule="atLeast"/>
        <w:ind w:left="15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uzavření smlouvy o zřízení zástavního práva k jednotce, pokud dotčený</w:t>
      </w:r>
      <w:r>
        <w:rPr>
          <w:rFonts w:ascii="Arial" w:hAnsi="Arial" w:cs="Arial"/>
          <w:sz w:val="20"/>
          <w:szCs w:val="20"/>
        </w:rPr>
        <w:t xml:space="preserve"> vlastník jednotky v písemné formě s uzavřením zástavní smlouvy souhlasil,  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určení osoby, která má zajišťovat některé činnosti správy domu a pozemku, rozhodnutí </w:t>
      </w:r>
      <w:r>
        <w:rPr>
          <w:rFonts w:ascii="Arial" w:hAnsi="Arial" w:cs="Arial"/>
          <w:sz w:val="20"/>
          <w:szCs w:val="20"/>
        </w:rPr>
        <w:br/>
        <w:t xml:space="preserve">o její změně, jakož i schválení smlouvy s touto osobou a schválení změny smlouvy </w:t>
      </w:r>
    </w:p>
    <w:p w:rsidR="00521FDA" w:rsidRDefault="00296372">
      <w:pPr>
        <w:widowControl w:val="0"/>
        <w:spacing w:after="0" w:line="100" w:lineRule="atLeast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ujednání </w:t>
      </w:r>
      <w:r>
        <w:rPr>
          <w:rFonts w:ascii="Arial" w:hAnsi="Arial" w:cs="Arial"/>
          <w:sz w:val="20"/>
          <w:szCs w:val="20"/>
        </w:rPr>
        <w:t xml:space="preserve">o ceně nebo o rozsahu činnosti, 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rozhodování v dalších záležitostech určených stanovami nebo v záležitostech, které si shromáždění k rozhodnutí vyhradí. 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widowControl w:val="0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Shromáždění se schází nejméně jednou za rok. Svolává je statutární orgán společenství. Shromáždění mu</w:t>
      </w:r>
      <w:r>
        <w:rPr>
          <w:rFonts w:ascii="Arial" w:hAnsi="Arial" w:cs="Arial"/>
          <w:sz w:val="20"/>
          <w:szCs w:val="20"/>
        </w:rPr>
        <w:t>sí být statutárním orgánem svoláno též, požádá-li o to s uvedením návrhu pořadu zasedání nejméně takový počet členů společenství, kteří mají více než čtvrtinu všech hlasů, nejméně však dva z nich, a to do 30 dnů od doručení této žádosti.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widowControl w:val="0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Shromáždění se svolává 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písemnou pozvánkou, která se zašle všem členům společenství. Písemná pozvánka musí být zaslána poštou nebo předána osobně proti podpisu a </w:t>
      </w:r>
    </w:p>
    <w:p w:rsidR="00521FDA" w:rsidRDefault="00296372">
      <w:pPr>
        <w:widowControl w:val="0"/>
        <w:numPr>
          <w:ilvl w:val="1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současně vyvěšena na domovní nástěnce nejméně 15 dní přede dnem konání zasedání shromáždění.</w:t>
      </w:r>
      <w:r>
        <w:rPr>
          <w:rFonts w:ascii="Arial" w:hAnsi="Arial" w:cs="Arial"/>
          <w:sz w:val="20"/>
          <w:szCs w:val="20"/>
        </w:rPr>
        <w:t xml:space="preserve"> V pozvánce se uvede zejména datum, hodina, místo konání a pořad zasedání shromáždění. Dále se v pozvánce uvede, kde se mohou členové společenství seznámit s podklady týkajícími se pořadu zasedání, pokud nejsou tyto podklady k pozvánce připojeny.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widowControl w:val="0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Zasedání</w:t>
      </w:r>
      <w:r>
        <w:rPr>
          <w:rFonts w:ascii="Arial" w:hAnsi="Arial" w:cs="Arial"/>
          <w:sz w:val="20"/>
          <w:szCs w:val="20"/>
        </w:rPr>
        <w:t xml:space="preserve"> shromáždění řídí statutární orgán společenství, neurčí-li jinou osobu. 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widowControl w:val="0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Shromáždění je schopné usnášení, jsou-li přítomni členové společenství, kteří mají většinu hlasů.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pStyle w:val="Odstavecseseznamem"/>
        <w:numPr>
          <w:ilvl w:val="1"/>
          <w:numId w:val="5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přijetí usnesení je zapotřebí nadpoloviční většiny hlasů přítomných členů společe</w:t>
      </w:r>
      <w:r>
        <w:rPr>
          <w:rFonts w:ascii="Arial" w:hAnsi="Arial" w:cs="Arial"/>
          <w:sz w:val="20"/>
          <w:szCs w:val="20"/>
        </w:rPr>
        <w:t>nství, pokud zákon nebo tyto stanovy neurčí jinak. Při hlasování je rozhodující velikost spoluvlastnických podílů členů společenství na společných částech; členové společenství, kteří jsou spoluvlastníky jednotky, mají společně jeden hlas.</w:t>
      </w:r>
    </w:p>
    <w:p w:rsidR="00521FDA" w:rsidRDefault="00521FDA">
      <w:pPr>
        <w:pStyle w:val="Odstavecseseznamem"/>
        <w:widowControl w:val="0"/>
        <w:spacing w:after="0" w:line="10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pStyle w:val="Odstavecseseznamem"/>
        <w:widowControl w:val="0"/>
        <w:spacing w:after="0" w:line="100" w:lineRule="atLeast"/>
        <w:ind w:left="993" w:hanging="567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  K přijet</w:t>
      </w:r>
      <w:r>
        <w:rPr>
          <w:rFonts w:ascii="Arial" w:hAnsi="Arial" w:cs="Arial"/>
          <w:sz w:val="20"/>
          <w:szCs w:val="20"/>
        </w:rPr>
        <w:t>í usnesení o změně účelu užívání stavby a o změně stavby je zapotřebí souhlasu všech členů společenství, pokud není dále uvedeno jinak. Jde-li o stavební úpravy spočívající v modernizaci, rekonstrukci a opravách společných částí domu, jimiž se nemění vnitř</w:t>
      </w:r>
      <w:r>
        <w:rPr>
          <w:rFonts w:ascii="Arial" w:hAnsi="Arial" w:cs="Arial"/>
          <w:sz w:val="20"/>
          <w:szCs w:val="20"/>
        </w:rPr>
        <w:t xml:space="preserve">ní uspořádání domu a zároveň velikost spoluvlastnických podílů na společných částech domu, </w:t>
      </w:r>
      <w:r>
        <w:rPr>
          <w:rFonts w:ascii="Arial" w:hAnsi="Arial" w:cs="Arial"/>
          <w:bCs/>
          <w:sz w:val="20"/>
          <w:szCs w:val="20"/>
        </w:rPr>
        <w:t>je zapotřebí k přijetí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usnesení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tříčtvrtinové většiny hlasů přítomných členů společenství</w:t>
      </w:r>
      <w:r>
        <w:rPr>
          <w:rFonts w:ascii="Arial" w:hAnsi="Arial" w:cs="Arial"/>
          <w:sz w:val="20"/>
          <w:szCs w:val="20"/>
        </w:rPr>
        <w:t>.</w:t>
      </w:r>
    </w:p>
    <w:p w:rsidR="00521FDA" w:rsidRDefault="00521FDA">
      <w:pPr>
        <w:spacing w:after="0" w:line="100" w:lineRule="atLeast"/>
      </w:pPr>
    </w:p>
    <w:p w:rsidR="00521FDA" w:rsidRDefault="00296372">
      <w:pPr>
        <w:widowControl w:val="0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Ze zasedání shromáždění se pořizuje zápis, za jehož pořízení odpovídá říd</w:t>
      </w:r>
      <w:r>
        <w:rPr>
          <w:rFonts w:ascii="Arial" w:hAnsi="Arial" w:cs="Arial"/>
          <w:spacing w:val="-4"/>
          <w:sz w:val="20"/>
          <w:szCs w:val="20"/>
        </w:rPr>
        <w:t>ící zasedání. Zápis musí obsahovat nezbytné údaje prokazující schopnost shromáždění k jednání a usnášení, dále údaje o průběhu zasedání, plné znění přijatých usnesení a výsledky voleb, pokud byly volby prováděny. Přílohu zápisu tvoří zejména listina přítom</w:t>
      </w:r>
      <w:r>
        <w:rPr>
          <w:rFonts w:ascii="Arial" w:hAnsi="Arial" w:cs="Arial"/>
          <w:spacing w:val="-4"/>
          <w:sz w:val="20"/>
          <w:szCs w:val="20"/>
        </w:rPr>
        <w:t>ných s jejich podpisy a písemné podklady, které byly předloženy k jednotlivým projednávaným bodům. Zápis podepisuje řídící zasedání a zapisovatel. Zápisy včetně písemných podkladů k zasedání shromáždění musí být uschovány u statutárního orgánu společenství</w:t>
      </w:r>
      <w:r>
        <w:rPr>
          <w:rFonts w:ascii="Arial" w:hAnsi="Arial" w:cs="Arial"/>
          <w:spacing w:val="-4"/>
          <w:sz w:val="20"/>
          <w:szCs w:val="20"/>
        </w:rPr>
        <w:t>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Způsobem stanoveným zákonem mimo zasedání (per rollam) může být rozhodnuto: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16"/>
          <w:szCs w:val="16"/>
        </w:rPr>
      </w:pPr>
    </w:p>
    <w:p w:rsidR="00521FDA" w:rsidRDefault="00296372">
      <w:pPr>
        <w:pStyle w:val="Odstavecseseznamem"/>
        <w:widowControl w:val="0"/>
        <w:numPr>
          <w:ilvl w:val="1"/>
          <w:numId w:val="5"/>
        </w:numPr>
        <w:spacing w:after="0" w:line="10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týchž záležitostech, které měly být projednány na svolaném shromáždění, které nebylo způsobilé se usnášet, a to na návrh osoby, která shromáždění svolala,</w:t>
      </w:r>
    </w:p>
    <w:p w:rsidR="00521FDA" w:rsidRDefault="00296372">
      <w:pPr>
        <w:pStyle w:val="Odstavecseseznamem"/>
        <w:widowControl w:val="0"/>
        <w:numPr>
          <w:ilvl w:val="1"/>
          <w:numId w:val="5"/>
        </w:numPr>
        <w:spacing w:after="0" w:line="10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týchž </w:t>
      </w:r>
      <w:r>
        <w:rPr>
          <w:rFonts w:ascii="Arial" w:hAnsi="Arial" w:cs="Arial"/>
          <w:sz w:val="20"/>
          <w:szCs w:val="20"/>
        </w:rPr>
        <w:t>záležitostech, které byly řádně projednány na svolaném shromáždění, ale nebyl-li návrh na usnesení přijat většinou hlasů, a to na návrh osoby, která shromáždění svolala,</w:t>
      </w:r>
    </w:p>
    <w:p w:rsidR="00521FDA" w:rsidRDefault="00296372">
      <w:pPr>
        <w:pStyle w:val="Odstavecseseznamem"/>
        <w:widowControl w:val="0"/>
        <w:numPr>
          <w:ilvl w:val="1"/>
          <w:numId w:val="5"/>
        </w:numPr>
        <w:spacing w:after="0" w:line="10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jiných věcech a to na návrh statutárního orgánu společenství.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přijetí rozhodnutí </w:t>
      </w:r>
      <w:r>
        <w:rPr>
          <w:rFonts w:ascii="Arial" w:hAnsi="Arial" w:cs="Arial"/>
          <w:sz w:val="20"/>
          <w:szCs w:val="20"/>
        </w:rPr>
        <w:t>mimo zasedání je zapotřebí souhlasu nadpoloviční většiny hlasů všech vlastníků jednotek.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VIII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Výbor společenství</w:t>
      </w: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Voleným orgánem společenství je výbor společenství (dále jen „výbor“).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521FDA" w:rsidRDefault="00296372">
      <w:pPr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Funkční období člena výboru je 5 let; počíná dnem zvolení do </w:t>
      </w:r>
      <w:r>
        <w:rPr>
          <w:rFonts w:ascii="Arial" w:hAnsi="Arial" w:cs="Arial"/>
          <w:spacing w:val="-2"/>
          <w:sz w:val="20"/>
          <w:szCs w:val="20"/>
        </w:rPr>
        <w:t>funkce nebo dnem, který byl při zvolení stanoven jako počátek výkonu funkce, a končí uplynutím funkčního období. Členství ve výboru dále končí v důsledku odstoupení z funkce nebo odvolání z funkce. Odstoupí-li člen výboru ze své funkce na schůzi výboru neb</w:t>
      </w:r>
      <w:r>
        <w:rPr>
          <w:rFonts w:ascii="Arial" w:hAnsi="Arial" w:cs="Arial"/>
          <w:spacing w:val="-2"/>
          <w:sz w:val="20"/>
          <w:szCs w:val="20"/>
        </w:rPr>
        <w:t>o na zasedání shromáždění, zanikne mu členství ve výboru tímto odstoupením.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pacing w:val="-2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Výbor je statutárním orgánem společenství, za svou činnost odpovídá shromáždění. 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Výboru náleží veškerá působnost, kterou stanovy, zákon nebo rozhodnutí orgánu veřejné moci </w:t>
      </w:r>
      <w:r>
        <w:rPr>
          <w:rFonts w:ascii="Arial" w:hAnsi="Arial" w:cs="Arial"/>
          <w:spacing w:val="-2"/>
          <w:sz w:val="20"/>
          <w:szCs w:val="20"/>
        </w:rPr>
        <w:t>nesvěří jinému orgánu právnické osoby. Výbor řídí a organizuje běžnou činnost společenství a rozhoduje ve věcech spojených se správou domu a pozemku a s předmětem činnosti společenství s výjimkou těch věcí, které jsou podle právních předpisů a těchto stano</w:t>
      </w:r>
      <w:r>
        <w:rPr>
          <w:rFonts w:ascii="Arial" w:hAnsi="Arial" w:cs="Arial"/>
          <w:spacing w:val="-2"/>
          <w:sz w:val="20"/>
          <w:szCs w:val="20"/>
        </w:rPr>
        <w:t>v ve výlučné působnosti shromáždění nebo si je shromáždění k rozhodnutí vyhradilo.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521FDA" w:rsidRDefault="00296372">
      <w:pPr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působnosti výboru je také rozhodování o:</w:t>
      </w:r>
    </w:p>
    <w:p w:rsidR="00521FDA" w:rsidRDefault="00296372">
      <w:pPr>
        <w:pStyle w:val="Odstavecseseznamem"/>
        <w:numPr>
          <w:ilvl w:val="1"/>
          <w:numId w:val="9"/>
        </w:numPr>
        <w:spacing w:after="0" w:line="100" w:lineRule="atLeast"/>
        <w:ind w:left="993" w:hanging="568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nabytí movitých věcí, jejichž pořizovací cena nedosáhne v kalendářním roce souhrnné částky 25.000 Kč a dále rozhodování o zcizení</w:t>
      </w:r>
      <w:r>
        <w:rPr>
          <w:rFonts w:ascii="Arial" w:hAnsi="Arial" w:cs="Arial"/>
          <w:spacing w:val="-2"/>
          <w:sz w:val="20"/>
          <w:szCs w:val="20"/>
        </w:rPr>
        <w:t xml:space="preserve"> nebo zatížení movitých věcí, jejichž zůstatková cena v kalendářním roce nepřesáhne v souhrnu částku 25.000 Kč,</w:t>
      </w:r>
    </w:p>
    <w:p w:rsidR="00521FDA" w:rsidRDefault="00296372">
      <w:pPr>
        <w:pStyle w:val="Odstavecseseznamem"/>
        <w:numPr>
          <w:ilvl w:val="1"/>
          <w:numId w:val="9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údržbě, opravě nebo stavební úpravě společné části, celková částka na opravy a údržbu však nesmí překročit souhrnnou částku v součtu 50.000 Kč p</w:t>
      </w:r>
      <w:r>
        <w:rPr>
          <w:rFonts w:ascii="Arial" w:hAnsi="Arial" w:cs="Arial"/>
          <w:sz w:val="20"/>
          <w:szCs w:val="20"/>
        </w:rPr>
        <w:t xml:space="preserve">lus 1.000 Kč v průměru na každou jednotku v domě v kalendářním roce. Tento limit neplatí, jde-li o havarijní stav či odstranění jeho důsledků a/nebo opatření k zabránění větší škodě na společných částech nebo majetku vlastníků jednotek. </w:t>
      </w:r>
    </w:p>
    <w:p w:rsidR="00521FDA" w:rsidRDefault="00296372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všech rozhodnutí</w:t>
      </w:r>
      <w:r>
        <w:rPr>
          <w:rFonts w:ascii="Arial" w:hAnsi="Arial" w:cs="Arial"/>
          <w:sz w:val="20"/>
          <w:szCs w:val="20"/>
        </w:rPr>
        <w:t>ch podle bodů 5.1 a 5.2. tohoto článku je  výbor společenství povinen informovat nejpozději na nejbližším zasedání shromáždění.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pStyle w:val="Odstavecseseznamem"/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výboru je volen a odvoláván shromážděním. Způsobilost být členem výboru stanoví zákon.</w:t>
      </w:r>
    </w:p>
    <w:p w:rsidR="00521FDA" w:rsidRDefault="00521FDA">
      <w:pPr>
        <w:pStyle w:val="Odstavecseseznamem"/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pStyle w:val="Odstavecseseznamem"/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 je tří členný. Výbor volí př</w:t>
      </w:r>
      <w:r>
        <w:rPr>
          <w:rFonts w:ascii="Arial" w:hAnsi="Arial" w:cs="Arial"/>
          <w:sz w:val="20"/>
          <w:szCs w:val="20"/>
        </w:rPr>
        <w:t>edsedu a místopředsedu z řad svých členů a z funkce je odvolává. Předseda výboru organizuje, svolává a řídí činnost výboru, organizuje běžnou činnost společenství. Výbor koná své schůze podle potřeby, nejméně však jednou za čtvrtletí, a předseda jej svoláv</w:t>
      </w:r>
      <w:r>
        <w:rPr>
          <w:rFonts w:ascii="Arial" w:hAnsi="Arial" w:cs="Arial"/>
          <w:sz w:val="20"/>
          <w:szCs w:val="20"/>
        </w:rPr>
        <w:t>á písemnou či e-mailovou pozvánkou.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pStyle w:val="Odstavecseseznamem"/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počet členů výboru neklesl pod polovinu, může výbor kooptovat další členy do nejbližšího zasedání shromáždění. Shromáždění může zvolit náhradníky členů výboru, kteří nastupují na uvolněné místo členů výboru podle </w:t>
      </w:r>
      <w:r>
        <w:rPr>
          <w:rFonts w:ascii="Arial" w:hAnsi="Arial" w:cs="Arial"/>
          <w:sz w:val="20"/>
          <w:szCs w:val="20"/>
        </w:rPr>
        <w:t xml:space="preserve">stanoveného pořadí. 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pStyle w:val="Odstavecseseznamem"/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Za výbor jedná navenek jeho předseda. V době nepřítomnosti předsedy jej zastupuje místopředseda. Jde-li o písemný právní úkon, který činí výbor, musí být podepsán předsedou nebo v jeho zastoupení místopředsedou a dalším členem výboru.</w:t>
      </w:r>
      <w:r>
        <w:rPr>
          <w:rFonts w:ascii="Arial" w:hAnsi="Arial" w:cs="Arial"/>
          <w:spacing w:val="-4"/>
          <w:sz w:val="20"/>
          <w:szCs w:val="20"/>
        </w:rPr>
        <w:t xml:space="preserve"> Podepisuje-li předseda spolu s místopředsedou, je podpis místopředsedy považován za podpis dalšího člena výboru. Každý člen výboru má jeden hlas. Výbor je schopen usnášení, je-li přítomna nadpoloviční většina jeho členů. K přijetí usnesení je zapotřebí na</w:t>
      </w:r>
      <w:r>
        <w:rPr>
          <w:rFonts w:ascii="Arial" w:hAnsi="Arial" w:cs="Arial"/>
          <w:spacing w:val="-4"/>
          <w:sz w:val="20"/>
          <w:szCs w:val="20"/>
        </w:rPr>
        <w:t>dpoloviční většiny hlasů přítomných členů výboru. Požádá-li o to člen výboru, musí být do zápisu výslovně uveden jeho nesouhlas s přijatým usnesením, popřípadě též důvody tohoto nesouhlasu.</w:t>
      </w:r>
    </w:p>
    <w:p w:rsidR="00521FDA" w:rsidRDefault="00521FDA">
      <w:pPr>
        <w:pStyle w:val="Odstavecseseznamem"/>
        <w:widowControl w:val="0"/>
        <w:spacing w:after="0" w:line="100" w:lineRule="atLeast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 jedná za společenství ve všech věcech společenství jako prá</w:t>
      </w:r>
      <w:r>
        <w:rPr>
          <w:rFonts w:ascii="Arial" w:hAnsi="Arial" w:cs="Arial"/>
          <w:sz w:val="20"/>
          <w:szCs w:val="20"/>
        </w:rPr>
        <w:t>vnické osoby. Výbor zejména připravuje podklady pro jednání shromáždění, svolává shromáždění, předkládá shromáždění zprávy o všech záležitostech společenství, včetně účetní závěrky a písemných materiálů, které má shromáždění projednat, zajišťuje řádné vede</w:t>
      </w:r>
      <w:r>
        <w:rPr>
          <w:rFonts w:ascii="Arial" w:hAnsi="Arial" w:cs="Arial"/>
          <w:sz w:val="20"/>
          <w:szCs w:val="20"/>
        </w:rPr>
        <w:t>ní písemností společenství, sděluje jednotlivým členům společenství podle usnesení shromáždění výši záloh na náklady spojené se správou domu a pozemku a výši záloh na úhradu za služby, zajišťuje vyúčtování záloh a vypořádání nedoplatků nebo přeplatků.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IX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Pravidla pro správu domu a pozemku a užívání společných částí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6"/>
        </w:numPr>
        <w:spacing w:after="0" w:line="10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Pokud dále není uvedeno jinak, všechny společné části přímo či i jen nepřímo užívají a podílejí se proto i na jejich správě, tedy na rozhodování o nich i na financování nákladů na ně, </w:t>
      </w:r>
      <w:r>
        <w:rPr>
          <w:rFonts w:ascii="Arial" w:hAnsi="Arial" w:cs="Arial"/>
          <w:bCs/>
          <w:sz w:val="20"/>
          <w:szCs w:val="20"/>
        </w:rPr>
        <w:t>všichni členové společenství. Správa domu a pozemku zahrnuje vše, co nenáleží vlastníku jednotky a co je v zájmu všech spoluvlastníků nutné nebo účelné pro řádnou péči o dům a pozemek a zachování nebo zlepšení společných částí. Má se za to, že se správa vz</w:t>
      </w:r>
      <w:r>
        <w:rPr>
          <w:rFonts w:ascii="Arial" w:hAnsi="Arial" w:cs="Arial"/>
          <w:bCs/>
          <w:sz w:val="20"/>
          <w:szCs w:val="20"/>
        </w:rPr>
        <w:t>tahuje i na společné části, které slouží k výlučnému užívání jen některým vlastníkům jednotek.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521FDA" w:rsidRDefault="00296372">
      <w:pPr>
        <w:pStyle w:val="Odstavecseseznamem"/>
        <w:widowControl w:val="0"/>
        <w:numPr>
          <w:ilvl w:val="0"/>
          <w:numId w:val="6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rozhodnutí shromáždění může společenství pověřit jinou osobu zajišťováním některých činností správy domu a pozemku; tím nejsou dotčeny působnost a </w:t>
      </w:r>
      <w:r>
        <w:rPr>
          <w:rFonts w:ascii="Arial" w:hAnsi="Arial" w:cs="Arial"/>
          <w:sz w:val="20"/>
          <w:szCs w:val="20"/>
        </w:rPr>
        <w:t>odpovědnost společenství za zajišťování činnosti podle zákona a těchto stanov, ani výlučná působnost orgánu společenství podle zákona a těchto stanov.</w:t>
      </w:r>
    </w:p>
    <w:p w:rsidR="00521FDA" w:rsidRDefault="00521FDA">
      <w:pPr>
        <w:widowControl w:val="0"/>
        <w:spacing w:after="0" w:line="10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6"/>
        </w:numPr>
        <w:spacing w:after="0" w:line="10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 správu domu a pozemku a užívání společných částí se stanoví tato pravidla:</w:t>
      </w:r>
    </w:p>
    <w:p w:rsidR="00521FDA" w:rsidRDefault="00296372">
      <w:pPr>
        <w:widowControl w:val="0"/>
        <w:numPr>
          <w:ilvl w:val="1"/>
          <w:numId w:val="6"/>
        </w:numPr>
        <w:spacing w:after="0" w:line="100" w:lineRule="atLeast"/>
        <w:ind w:left="993" w:hanging="5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zásadách pro uzamykání </w:t>
      </w:r>
      <w:r>
        <w:rPr>
          <w:rFonts w:ascii="Arial" w:hAnsi="Arial" w:cs="Arial"/>
          <w:bCs/>
          <w:sz w:val="20"/>
          <w:szCs w:val="20"/>
        </w:rPr>
        <w:t>společných částí (prostor), o podmínkách vydávání klíčů vlastníkům jednotek, o evidenci klíčů a nákladech s tím spojených a o případném upřesnění rozsahu a doby užívání společných prostor rozhoduje shromáždění.</w:t>
      </w:r>
    </w:p>
    <w:p w:rsidR="00521FDA" w:rsidRDefault="00296372">
      <w:pPr>
        <w:widowControl w:val="0"/>
        <w:numPr>
          <w:ilvl w:val="1"/>
          <w:numId w:val="6"/>
        </w:numPr>
        <w:spacing w:after="0" w:line="100" w:lineRule="atLeast"/>
        <w:ind w:left="993" w:hanging="5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Člen společenství odpovídá za dodržení pravid</w:t>
      </w:r>
      <w:r>
        <w:rPr>
          <w:rFonts w:ascii="Arial" w:hAnsi="Arial" w:cs="Arial"/>
          <w:bCs/>
          <w:sz w:val="20"/>
          <w:szCs w:val="20"/>
        </w:rPr>
        <w:t>el pro užívání společných částí i všemi osobami, kterým vstup do domu umožní.</w:t>
      </w:r>
    </w:p>
    <w:p w:rsidR="00521FDA" w:rsidRDefault="00296372">
      <w:pPr>
        <w:widowControl w:val="0"/>
        <w:numPr>
          <w:ilvl w:val="1"/>
          <w:numId w:val="6"/>
        </w:numPr>
        <w:spacing w:after="0" w:line="100" w:lineRule="atLeast"/>
        <w:ind w:left="993" w:hanging="5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Člen společenství není oprávněn rušit další členy společenství či jiné osoby v užívání jednotek a společných částí nad míru přiměřenou místním poměrům, zejména nepřiměřeným hluke</w:t>
      </w:r>
      <w:r>
        <w:rPr>
          <w:rFonts w:ascii="Arial" w:hAnsi="Arial" w:cs="Arial"/>
          <w:bCs/>
          <w:sz w:val="20"/>
          <w:szCs w:val="20"/>
        </w:rPr>
        <w:t>m, kouřem, otřesy, pachem či světlem.</w:t>
      </w:r>
    </w:p>
    <w:p w:rsidR="00521FDA" w:rsidRDefault="00296372">
      <w:pPr>
        <w:widowControl w:val="0"/>
        <w:numPr>
          <w:ilvl w:val="1"/>
          <w:numId w:val="6"/>
        </w:numPr>
        <w:spacing w:after="0" w:line="100" w:lineRule="atLeast"/>
        <w:ind w:left="993" w:hanging="5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Člen společenství není oprávněn uvnitř společných prostor jakkoli manipulovat s ohněm ani s doutnajícími předměty a je povinen se řídit předpisy o požární ochraně.</w:t>
      </w:r>
    </w:p>
    <w:p w:rsidR="00521FDA" w:rsidRDefault="00296372">
      <w:pPr>
        <w:widowControl w:val="0"/>
        <w:numPr>
          <w:ilvl w:val="1"/>
          <w:numId w:val="6"/>
        </w:numPr>
        <w:spacing w:after="0" w:line="100" w:lineRule="atLeast"/>
        <w:ind w:left="993" w:hanging="5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Člen společenství není oprávněn ve společných částech </w:t>
      </w:r>
      <w:r>
        <w:rPr>
          <w:rFonts w:ascii="Arial" w:hAnsi="Arial" w:cs="Arial"/>
          <w:bCs/>
          <w:sz w:val="20"/>
          <w:szCs w:val="20"/>
        </w:rPr>
        <w:t xml:space="preserve">umisťovat či ukládat jakékoli předměty bez souhlasu statutárního orgánu společenství. To neplatí, pokud se jedná o společné části, přenechané k jeho výlučnému užívání, povinnosti stanovené zvláštními předpisy tím nejsou dotčeny. </w:t>
      </w:r>
    </w:p>
    <w:p w:rsidR="00521FDA" w:rsidRDefault="00296372">
      <w:pPr>
        <w:widowControl w:val="0"/>
        <w:numPr>
          <w:ilvl w:val="1"/>
          <w:numId w:val="6"/>
        </w:numPr>
        <w:spacing w:after="0" w:line="100" w:lineRule="atLeast"/>
        <w:ind w:left="993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Porušuje-li vlastník jedno</w:t>
      </w:r>
      <w:r>
        <w:rPr>
          <w:rFonts w:ascii="Arial" w:hAnsi="Arial" w:cs="Arial"/>
          <w:sz w:val="20"/>
          <w:szCs w:val="20"/>
        </w:rPr>
        <w:t xml:space="preserve">tky obvyklý způsob užívání společných částí domu a pozemku nebo pokyny a pravidla společenstvím za tím účelem přijatá, vyzve ho společenství ke zdržení se takového jednání. V případě nerespektování výzvy vlastníkem jednotky je společenství oprávněno činit </w:t>
      </w:r>
      <w:r>
        <w:rPr>
          <w:rFonts w:ascii="Arial" w:hAnsi="Arial" w:cs="Arial"/>
          <w:sz w:val="20"/>
          <w:szCs w:val="20"/>
        </w:rPr>
        <w:t xml:space="preserve">opatření k naplnění výzvy, přičemž všechny účelně vynaložené náklady s tím spojené budou uplatněny vůči tomuto vlastníkovi jednotky.  </w:t>
      </w:r>
    </w:p>
    <w:p w:rsidR="00521FDA" w:rsidRDefault="00296372">
      <w:pPr>
        <w:widowControl w:val="0"/>
        <w:numPr>
          <w:ilvl w:val="1"/>
          <w:numId w:val="6"/>
        </w:numPr>
        <w:spacing w:after="0" w:line="100" w:lineRule="atLeast"/>
        <w:ind w:left="993" w:hanging="5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Shromáždění je oprávněno rozhodnout o způsobu výkonu těchto i dalších zákonných pravidel v mezích určených zákonem i těmi</w:t>
      </w:r>
      <w:r>
        <w:rPr>
          <w:rFonts w:ascii="Arial" w:hAnsi="Arial" w:cs="Arial"/>
          <w:bCs/>
          <w:sz w:val="20"/>
          <w:szCs w:val="20"/>
        </w:rPr>
        <w:t>to stanovami a na základě jeho zmocnění je statutární orgán společenství oprávněn vydávat pokyny k zajištění řádné správy domu a pozemku, užívání společných částí a zachování pořádku v domě, včetně pokynů pro provoz technických zařízení v domě.</w:t>
      </w:r>
    </w:p>
    <w:p w:rsidR="00521FDA" w:rsidRDefault="00296372">
      <w:pPr>
        <w:widowControl w:val="0"/>
        <w:spacing w:after="0" w:line="1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</w:p>
    <w:p w:rsidR="00521FDA" w:rsidRDefault="00521FDA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X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Hospodaření společenství, pravidla pro sestavení rozpočtu společenství, 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 příspěvky na správu a zálohy na služby </w:t>
      </w:r>
    </w:p>
    <w:p w:rsidR="00521FDA" w:rsidRDefault="00296372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pro způsob určení jejich výše 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7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Společenství hospodaří s finančními prostředky poskytovanými členy společenství na úhradu příspěvků na </w:t>
      </w:r>
      <w:r>
        <w:rPr>
          <w:rFonts w:ascii="Arial" w:hAnsi="Arial" w:cs="Arial"/>
          <w:sz w:val="20"/>
          <w:szCs w:val="20"/>
        </w:rPr>
        <w:t xml:space="preserve">správu domu a pozemku, dále s finančními prostředky poskytovanými členy společenství na úhradu za služby spojené s užíváním jednotek a s dalšími finančními prostředky získanými v rámci činnosti společenství. Společenství nesmí podnikat ani se na podnikání </w:t>
      </w:r>
      <w:r>
        <w:rPr>
          <w:rFonts w:ascii="Arial" w:hAnsi="Arial" w:cs="Arial"/>
          <w:sz w:val="20"/>
          <w:szCs w:val="20"/>
        </w:rPr>
        <w:t>či jiné činnosti podnikatelů podílet, to se však netýká vkladů finančních prostředků společenství na bankovní účty společenství.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7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Společenství hospodaří a nakládá se svým majetkem v souladu s účelem vymezeným v zákoně a způsobem stanoveným právními předpis</w:t>
      </w:r>
      <w:r>
        <w:rPr>
          <w:rFonts w:ascii="Arial" w:hAnsi="Arial" w:cs="Arial"/>
          <w:sz w:val="20"/>
          <w:szCs w:val="20"/>
        </w:rPr>
        <w:t xml:space="preserve">y. </w:t>
      </w:r>
    </w:p>
    <w:p w:rsidR="00521FDA" w:rsidRDefault="00521FDA">
      <w:pPr>
        <w:pStyle w:val="Odstavecseseznamem"/>
        <w:spacing w:after="0" w:line="100" w:lineRule="atLeast"/>
        <w:ind w:left="709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7"/>
        </w:numPr>
        <w:spacing w:after="0" w:line="100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Společenství je povinno uplatňovat a vymáhat plnění povinností uložených členům společenství k tomu příslušným orgánem společenství a plnění závazků třetích osob vůči společenství. Statutární orgán společenství odpovídá za včasné plnění těchto úkolů.</w:t>
      </w:r>
    </w:p>
    <w:p w:rsidR="00521FDA" w:rsidRDefault="00521FDA">
      <w:pPr>
        <w:widowControl w:val="0"/>
        <w:spacing w:after="0" w:line="100" w:lineRule="atLeast"/>
        <w:ind w:left="425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7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Členové společenství ručí za závazky společenství v poměru, který odpovídá velikosti spoluvlastnických podílů na společných částech.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7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Rozpočtem společenství se rozumí předpokládané náklady na správu domu a pozemku a na služby a výše záloh na příspěvky na </w:t>
      </w:r>
      <w:r>
        <w:rPr>
          <w:rFonts w:ascii="Arial" w:hAnsi="Arial" w:cs="Arial"/>
          <w:sz w:val="20"/>
          <w:szCs w:val="20"/>
        </w:rPr>
        <w:t>správu domu a pozemku a záloh na služby. Rozpočet společenství se sestavuje zpravidla na kalendářní rok.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7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Zálohy na příspěvky na správu domu a pozemku a zálohy na služby platí členové společenství na základě rozhodnutí shromáždění ve výši a v termínech sta</w:t>
      </w:r>
      <w:r>
        <w:rPr>
          <w:rFonts w:ascii="Arial" w:hAnsi="Arial" w:cs="Arial"/>
          <w:sz w:val="20"/>
          <w:szCs w:val="20"/>
        </w:rPr>
        <w:t>novených k tomu statutárním orgánem společenství na bankovní účet společenství. Vyúčtování záloh se provádí podle právních předpisů a pravidel schválených shromážděním. Statutární orgán písemně informuje vlastníky jednotek o pohybu a stavu finančních prost</w:t>
      </w:r>
      <w:r>
        <w:rPr>
          <w:rFonts w:ascii="Arial" w:hAnsi="Arial" w:cs="Arial"/>
          <w:sz w:val="20"/>
          <w:szCs w:val="20"/>
        </w:rPr>
        <w:t>ředků společenství nejméně jedenkrát ročně, a to zpravidla na zasedání shromáždění formou zprávy o hospodaření společenství.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7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Vlastníci všech jednotek v domě jsou povinni přispívat na správu domu a pozemku v poměru velikosti svých spoluvlastnických podílů </w:t>
      </w:r>
      <w:r>
        <w:rPr>
          <w:rFonts w:ascii="Arial" w:hAnsi="Arial" w:cs="Arial"/>
          <w:sz w:val="20"/>
          <w:szCs w:val="20"/>
        </w:rPr>
        <w:t>na společných částech. Povinnost přispívat na odměnu členům volených orgánů společenství a na odměnu osobě, která má zajišťovat některé činnosti správy domu a pozemku (zejména tzv. operativní správce), je určena rozhodnutím shromáždění podle počtu jednotek</w:t>
      </w:r>
      <w:r>
        <w:rPr>
          <w:rFonts w:ascii="Arial" w:hAnsi="Arial" w:cs="Arial"/>
          <w:sz w:val="20"/>
          <w:szCs w:val="20"/>
        </w:rPr>
        <w:t>.</w:t>
      </w:r>
    </w:p>
    <w:p w:rsidR="00521FDA" w:rsidRDefault="00296372">
      <w:pPr>
        <w:widowControl w:val="0"/>
        <w:numPr>
          <w:ilvl w:val="0"/>
          <w:numId w:val="7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převodu vlastnického práva k jednotce nevzniká společenství povinnost příspěvky na správu domu a pozemku ke dni účinnosti převodu vypořádat.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pStyle w:val="Odsazentlatext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XI</w:t>
      </w:r>
    </w:p>
    <w:p w:rsidR="00521FDA" w:rsidRDefault="00296372">
      <w:pPr>
        <w:pStyle w:val="Odsazentlatext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Ustanovení závěrečná</w:t>
      </w:r>
    </w:p>
    <w:p w:rsidR="00521FDA" w:rsidRDefault="00521FDA">
      <w:pPr>
        <w:widowControl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521FDA" w:rsidRDefault="00296372">
      <w:pPr>
        <w:pStyle w:val="Odstavecseseznamem"/>
        <w:widowControl w:val="0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Prvními členy výboru se určují:</w:t>
      </w:r>
    </w:p>
    <w:p w:rsidR="00521FDA" w:rsidRDefault="00296372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Barbora Daňková, nar. 4. 5. 1974, bytem nám. Na Balabence 1431/6, Praha 9,</w:t>
      </w:r>
    </w:p>
    <w:p w:rsidR="00521FDA" w:rsidRDefault="00296372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Pavel Vomáčko, nar. 12. 4. 1967, bytem nám. Na Balabence 1432/5, Praha 9,</w:t>
      </w:r>
    </w:p>
    <w:p w:rsidR="00521FDA" w:rsidRDefault="00296372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Cibulec, nar. 25. 12. 1974, bytem nám. Na Balabence 1438/2, Praha 9</w:t>
      </w:r>
    </w:p>
    <w:p w:rsidR="00521FDA" w:rsidRDefault="00521FDA">
      <w:pPr>
        <w:pStyle w:val="Odstavecseseznamem"/>
        <w:widowControl w:val="0"/>
        <w:spacing w:after="0" w:line="100" w:lineRule="atLeast"/>
        <w:ind w:left="1440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widowControl w:val="0"/>
        <w:spacing w:after="0" w:line="100" w:lineRule="atLeast"/>
        <w:ind w:left="1080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Nestanoví-li zákon nebo tyto sta</w:t>
      </w:r>
      <w:r>
        <w:rPr>
          <w:rFonts w:ascii="Arial" w:hAnsi="Arial" w:cs="Arial"/>
          <w:sz w:val="20"/>
          <w:szCs w:val="20"/>
        </w:rPr>
        <w:t xml:space="preserve">novy výslovně jinak, zasílá společenství písemnosti určené členům společenství jako obyčejnou poštovní zásilku na adresu uvedenou v seznamu členů společenství; tyto písemnosti se v případě pochybností považují za doručené třetím dnem po odeslání. 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Je-li evidovaná adresa člena společenství totožná s adresou domu, pro který společenství vzniklo, a má-li člen společenství v tomto domě označenou poštovní schránku, mohou být písemnosti namísto zasílání prostřednictvím provozovatele poštovních služeb vhaz</w:t>
      </w:r>
      <w:r>
        <w:rPr>
          <w:rFonts w:ascii="Arial" w:hAnsi="Arial" w:cs="Arial"/>
          <w:sz w:val="20"/>
          <w:szCs w:val="20"/>
        </w:rPr>
        <w:t xml:space="preserve">ovány do této poštovní schránky; tyto písemnosti se v případě pochybností považují za doručené třetím dnem po vhození. 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Případná žádost o zasílání písemností jiné kontaktní osobě nebo na jinou kontaktní adresu, než je adresa jednotky, musí být členem spol</w:t>
      </w:r>
      <w:r>
        <w:rPr>
          <w:rFonts w:ascii="Arial" w:hAnsi="Arial" w:cs="Arial"/>
          <w:sz w:val="20"/>
          <w:szCs w:val="20"/>
        </w:rPr>
        <w:t xml:space="preserve">ečenství opatřena jeho podpisem. 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Případná žádost o zasílání písemností doporučeně nebo s dodejkou musí být členem společenství  opatřena jeho podpisem; rozhodne-li tak společenství, je člen společenství povinen uhradit společenství náklady na poštovné.</w:t>
      </w:r>
    </w:p>
    <w:p w:rsidR="00521FDA" w:rsidRDefault="00521FDA">
      <w:pPr>
        <w:widowControl w:val="0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 odst. 2. až 5. tohoto článku nevylučuje možnost společenství zasílat vybraný typ písemností členům společenství doporučeně nebo s dodejkou bez jejich žádosti.</w:t>
      </w:r>
    </w:p>
    <w:p w:rsidR="00521FDA" w:rsidRDefault="00521FDA">
      <w:pPr>
        <w:widowControl w:val="0"/>
        <w:spacing w:after="0"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521FDA" w:rsidRDefault="00296372">
      <w:pPr>
        <w:widowControl w:val="0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stanovy mění a plně nahrazují dosavadní stanovy společenství.</w:t>
      </w:r>
    </w:p>
    <w:p w:rsidR="00521FDA" w:rsidRDefault="00521FDA">
      <w:pPr>
        <w:widowControl w:val="0"/>
        <w:spacing w:after="0" w:line="100" w:lineRule="atLeast"/>
        <w:ind w:hanging="426"/>
        <w:jc w:val="both"/>
        <w:rPr>
          <w:rFonts w:ascii="Arial" w:hAnsi="Arial" w:cs="Arial"/>
          <w:sz w:val="20"/>
          <w:szCs w:val="20"/>
        </w:rPr>
      </w:pPr>
    </w:p>
    <w:p w:rsidR="00521FDA" w:rsidRDefault="00521FDA">
      <w:pPr>
        <w:sectPr w:rsidR="00521FDA">
          <w:headerReference w:type="default" r:id="rId8"/>
          <w:footerReference w:type="default" r:id="rId9"/>
          <w:pgSz w:w="11906" w:h="16838"/>
          <w:pgMar w:top="1418" w:right="1418" w:bottom="1418" w:left="1418" w:header="454" w:footer="454" w:gutter="0"/>
          <w:cols w:space="720"/>
          <w:docGrid w:linePitch="600" w:charSpace="36864"/>
        </w:sectPr>
      </w:pPr>
    </w:p>
    <w:p w:rsidR="00521FDA" w:rsidRDefault="00521FDA"/>
    <w:sectPr w:rsidR="00521FDA">
      <w:type w:val="continuous"/>
      <w:pgSz w:w="11906" w:h="16838"/>
      <w:pgMar w:top="1418" w:right="1418" w:bottom="1418" w:left="1418" w:header="454" w:footer="45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72" w:rsidRDefault="00296372">
      <w:pPr>
        <w:spacing w:after="0" w:line="240" w:lineRule="auto"/>
      </w:pPr>
      <w:r>
        <w:separator/>
      </w:r>
    </w:p>
  </w:endnote>
  <w:endnote w:type="continuationSeparator" w:id="0">
    <w:p w:rsidR="00296372" w:rsidRDefault="0029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DA" w:rsidRDefault="00296372">
    <w:pPr>
      <w:pStyle w:val="Zhlav"/>
      <w:spacing w:after="0" w:line="100" w:lineRule="atLeast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fldChar w:fldCharType="begin"/>
    </w:r>
    <w:r>
      <w:instrText>PAGE</w:instrText>
    </w:r>
    <w:r>
      <w:fldChar w:fldCharType="separate"/>
    </w:r>
    <w:r w:rsidR="009736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72" w:rsidRDefault="00296372">
      <w:pPr>
        <w:spacing w:after="0" w:line="240" w:lineRule="auto"/>
      </w:pPr>
      <w:r>
        <w:separator/>
      </w:r>
    </w:p>
  </w:footnote>
  <w:footnote w:type="continuationSeparator" w:id="0">
    <w:p w:rsidR="00296372" w:rsidRDefault="0029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DA" w:rsidRDefault="00296372">
    <w:pPr>
      <w:pStyle w:val="Zhlav"/>
      <w:rPr>
        <w:b/>
        <w:i/>
        <w:u w:val="single"/>
      </w:rPr>
    </w:pPr>
    <w:r>
      <w:rPr>
        <w:b/>
        <w:i/>
        <w:u w:val="single"/>
      </w:rPr>
      <w:t>Návrh</w:t>
    </w:r>
  </w:p>
  <w:p w:rsidR="00521FDA" w:rsidRDefault="00521FDA">
    <w:pPr>
      <w:pStyle w:val="Zhlav"/>
      <w:spacing w:after="0" w:line="100" w:lineRule="atLeast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9027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2"/>
    <w:multiLevelType w:val="multilevel"/>
    <w:tmpl w:val="FD1CD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0000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0000004"/>
    <w:multiLevelType w:val="multilevel"/>
    <w:tmpl w:val="6C16F2B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>
    <w:nsid w:val="00000005"/>
    <w:multiLevelType w:val="multilevel"/>
    <w:tmpl w:val="F9D02954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00000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0000008"/>
    <w:multiLevelType w:val="hybridMultilevel"/>
    <w:tmpl w:val="D54E8966"/>
    <w:lvl w:ilvl="0" w:tplc="C4D23F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9E964E6A">
      <w:start w:val="1"/>
      <w:numFmt w:val="lowerLetter"/>
      <w:lvlText w:val="%2."/>
      <w:lvlJc w:val="left"/>
      <w:pPr>
        <w:ind w:left="1440" w:hanging="360"/>
      </w:pPr>
    </w:lvl>
    <w:lvl w:ilvl="2" w:tplc="CDF4BAFA">
      <w:start w:val="1"/>
      <w:numFmt w:val="lowerRoman"/>
      <w:lvlText w:val="%3."/>
      <w:lvlJc w:val="right"/>
      <w:pPr>
        <w:ind w:left="2160" w:hanging="180"/>
      </w:pPr>
    </w:lvl>
    <w:lvl w:ilvl="3" w:tplc="A22CDA54" w:tentative="1">
      <w:start w:val="1"/>
      <w:numFmt w:val="decimal"/>
      <w:lvlText w:val="%4."/>
      <w:lvlJc w:val="left"/>
      <w:pPr>
        <w:ind w:left="2880" w:hanging="360"/>
      </w:pPr>
    </w:lvl>
    <w:lvl w:ilvl="4" w:tplc="801E6A9A" w:tentative="1">
      <w:start w:val="1"/>
      <w:numFmt w:val="lowerLetter"/>
      <w:lvlText w:val="%5."/>
      <w:lvlJc w:val="left"/>
      <w:pPr>
        <w:ind w:left="3600" w:hanging="360"/>
      </w:pPr>
    </w:lvl>
    <w:lvl w:ilvl="5" w:tplc="30769258" w:tentative="1">
      <w:start w:val="1"/>
      <w:numFmt w:val="lowerRoman"/>
      <w:lvlText w:val="%6."/>
      <w:lvlJc w:val="right"/>
      <w:pPr>
        <w:ind w:left="4320" w:hanging="180"/>
      </w:pPr>
    </w:lvl>
    <w:lvl w:ilvl="6" w:tplc="C778EE0A" w:tentative="1">
      <w:start w:val="1"/>
      <w:numFmt w:val="decimal"/>
      <w:lvlText w:val="%7."/>
      <w:lvlJc w:val="left"/>
      <w:pPr>
        <w:ind w:left="5040" w:hanging="360"/>
      </w:pPr>
    </w:lvl>
    <w:lvl w:ilvl="7" w:tplc="89FAABAA" w:tentative="1">
      <w:start w:val="1"/>
      <w:numFmt w:val="lowerLetter"/>
      <w:lvlText w:val="%8."/>
      <w:lvlJc w:val="left"/>
      <w:pPr>
        <w:ind w:left="5760" w:hanging="360"/>
      </w:pPr>
    </w:lvl>
    <w:lvl w:ilvl="8" w:tplc="2F5C6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B748CD1C"/>
    <w:lvl w:ilvl="0" w:tplc="CA6E7660">
      <w:start w:val="1"/>
      <w:numFmt w:val="decimal"/>
      <w:lvlText w:val="%1."/>
      <w:lvlJc w:val="left"/>
      <w:pPr>
        <w:ind w:left="720" w:hanging="360"/>
      </w:pPr>
    </w:lvl>
    <w:lvl w:ilvl="1" w:tplc="AC3042B8" w:tentative="1">
      <w:start w:val="1"/>
      <w:numFmt w:val="lowerLetter"/>
      <w:lvlText w:val="%2."/>
      <w:lvlJc w:val="left"/>
      <w:pPr>
        <w:ind w:left="1440" w:hanging="360"/>
      </w:pPr>
    </w:lvl>
    <w:lvl w:ilvl="2" w:tplc="16C4B402" w:tentative="1">
      <w:start w:val="1"/>
      <w:numFmt w:val="lowerRoman"/>
      <w:lvlText w:val="%3."/>
      <w:lvlJc w:val="right"/>
      <w:pPr>
        <w:ind w:left="2160" w:hanging="180"/>
      </w:pPr>
    </w:lvl>
    <w:lvl w:ilvl="3" w:tplc="24146D50" w:tentative="1">
      <w:start w:val="1"/>
      <w:numFmt w:val="decimal"/>
      <w:lvlText w:val="%4."/>
      <w:lvlJc w:val="left"/>
      <w:pPr>
        <w:ind w:left="2880" w:hanging="360"/>
      </w:pPr>
    </w:lvl>
    <w:lvl w:ilvl="4" w:tplc="0F5CAFA4" w:tentative="1">
      <w:start w:val="1"/>
      <w:numFmt w:val="lowerLetter"/>
      <w:lvlText w:val="%5."/>
      <w:lvlJc w:val="left"/>
      <w:pPr>
        <w:ind w:left="3600" w:hanging="360"/>
      </w:pPr>
    </w:lvl>
    <w:lvl w:ilvl="5" w:tplc="D5ACB814" w:tentative="1">
      <w:start w:val="1"/>
      <w:numFmt w:val="lowerRoman"/>
      <w:lvlText w:val="%6."/>
      <w:lvlJc w:val="right"/>
      <w:pPr>
        <w:ind w:left="4320" w:hanging="180"/>
      </w:pPr>
    </w:lvl>
    <w:lvl w:ilvl="6" w:tplc="7D92EA68" w:tentative="1">
      <w:start w:val="1"/>
      <w:numFmt w:val="decimal"/>
      <w:lvlText w:val="%7."/>
      <w:lvlJc w:val="left"/>
      <w:pPr>
        <w:ind w:left="5040" w:hanging="360"/>
      </w:pPr>
    </w:lvl>
    <w:lvl w:ilvl="7" w:tplc="3F3C4C92" w:tentative="1">
      <w:start w:val="1"/>
      <w:numFmt w:val="lowerLetter"/>
      <w:lvlText w:val="%8."/>
      <w:lvlJc w:val="left"/>
      <w:pPr>
        <w:ind w:left="5760" w:hanging="360"/>
      </w:pPr>
    </w:lvl>
    <w:lvl w:ilvl="8" w:tplc="E80C9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000000B"/>
    <w:multiLevelType w:val="multilevel"/>
    <w:tmpl w:val="558E861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000000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DA"/>
    <w:rsid w:val="00296372"/>
    <w:rsid w:val="00521FDA"/>
    <w:rsid w:val="009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Times New Roman" w:hAnsi="Calibri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uiPriority w:val="99"/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rPr>
      <w:rFonts w:ascii="Calibri" w:eastAsia="Times New Roman" w:hAnsi="Calibri" w:cs="Times New Roman"/>
      <w:lang w:eastAsia="cs-CZ"/>
    </w:rPr>
  </w:style>
  <w:style w:type="character" w:customStyle="1" w:styleId="Silnzdraznn">
    <w:name w:val="Silné zdůraznění"/>
    <w:basedOn w:val="Standardnpsmoodstavce"/>
    <w:rPr>
      <w:rFonts w:cs="Times New Roman"/>
      <w:b/>
      <w:bCs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vrendokumentuChar">
    <w:name w:val="Rozvržení dokumentu Char"/>
    <w:basedOn w:val="Standardnpsmoodstavce"/>
    <w:rPr>
      <w:rFonts w:ascii="Tahoma" w:eastAsia="Times New Roman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"/>
    <w:rPr>
      <w:rFonts w:eastAsia="Times New Roman"/>
    </w:rPr>
  </w:style>
  <w:style w:type="character" w:styleId="Odkaznavysvtlivky">
    <w:name w:val="endnote reference"/>
    <w:basedOn w:val="Standardnpsmoodstavce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i/>
    </w:rPr>
  </w:style>
  <w:style w:type="character" w:customStyle="1" w:styleId="ListLabel3">
    <w:name w:val="ListLabel 3"/>
    <w:rPr>
      <w:b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08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spacing w:after="0" w:line="100" w:lineRule="atLeast"/>
      <w:jc w:val="both"/>
    </w:pPr>
    <w:rPr>
      <w:rFonts w:ascii="Times New Roman" w:hAnsi="Times New Roman"/>
      <w:sz w:val="24"/>
      <w:szCs w:val="20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Revize">
    <w:name w:val="Revision"/>
    <w:pPr>
      <w:suppressAutoHyphens/>
    </w:pPr>
    <w:rPr>
      <w:rFonts w:ascii="Calibri" w:eastAsia="Times New Roman" w:hAnsi="Calibri" w:cs="Times New Roman"/>
      <w:lang w:val="cs-CZ" w:eastAsia="cs-CZ"/>
    </w:rPr>
  </w:style>
  <w:style w:type="paragraph" w:styleId="Rozloendokumentu">
    <w:name w:val="Document Map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pPr>
      <w:spacing w:after="0" w:line="10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Times New Roman" w:hAnsi="Calibri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uiPriority w:val="99"/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rPr>
      <w:rFonts w:ascii="Calibri" w:eastAsia="Times New Roman" w:hAnsi="Calibri" w:cs="Times New Roman"/>
      <w:lang w:eastAsia="cs-CZ"/>
    </w:rPr>
  </w:style>
  <w:style w:type="character" w:customStyle="1" w:styleId="Silnzdraznn">
    <w:name w:val="Silné zdůraznění"/>
    <w:basedOn w:val="Standardnpsmoodstavce"/>
    <w:rPr>
      <w:rFonts w:cs="Times New Roman"/>
      <w:b/>
      <w:bCs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vrendokumentuChar">
    <w:name w:val="Rozvržení dokumentu Char"/>
    <w:basedOn w:val="Standardnpsmoodstavce"/>
    <w:rPr>
      <w:rFonts w:ascii="Tahoma" w:eastAsia="Times New Roman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"/>
    <w:rPr>
      <w:rFonts w:eastAsia="Times New Roman"/>
    </w:rPr>
  </w:style>
  <w:style w:type="character" w:styleId="Odkaznavysvtlivky">
    <w:name w:val="endnote reference"/>
    <w:basedOn w:val="Standardnpsmoodstavce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i/>
    </w:rPr>
  </w:style>
  <w:style w:type="character" w:customStyle="1" w:styleId="ListLabel3">
    <w:name w:val="ListLabel 3"/>
    <w:rPr>
      <w:b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08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spacing w:after="0" w:line="100" w:lineRule="atLeast"/>
      <w:jc w:val="both"/>
    </w:pPr>
    <w:rPr>
      <w:rFonts w:ascii="Times New Roman" w:hAnsi="Times New Roman"/>
      <w:sz w:val="24"/>
      <w:szCs w:val="20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Revize">
    <w:name w:val="Revision"/>
    <w:pPr>
      <w:suppressAutoHyphens/>
    </w:pPr>
    <w:rPr>
      <w:rFonts w:ascii="Calibri" w:eastAsia="Times New Roman" w:hAnsi="Calibri" w:cs="Times New Roman"/>
      <w:lang w:val="cs-CZ" w:eastAsia="cs-CZ"/>
    </w:rPr>
  </w:style>
  <w:style w:type="paragraph" w:styleId="Rozloendokumentu">
    <w:name w:val="Document Map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pPr>
      <w:spacing w:after="0" w:line="1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3202</Words>
  <Characters>18898</Characters>
  <Application>Microsoft Office Word</Application>
  <DocSecurity>0</DocSecurity>
  <Lines>157</Lines>
  <Paragraphs>44</Paragraphs>
  <ScaleCrop>false</ScaleCrop>
  <Company>Emerson Process Management</Company>
  <LinksUpToDate>false</LinksUpToDate>
  <CharactersWithSpaces>22056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jahelka</dc:creator>
  <cp:lastModifiedBy>Pavel</cp:lastModifiedBy>
  <cp:revision>2</cp:revision>
  <cp:lastPrinted>2014-03-17T14:49:00Z</cp:lastPrinted>
  <dcterms:created xsi:type="dcterms:W3CDTF">2015-08-13T14:44:00Z</dcterms:created>
  <dcterms:modified xsi:type="dcterms:W3CDTF">2015-08-13T14:44:00Z</dcterms:modified>
</cp:coreProperties>
</file>